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360F">
      <w:pPr>
        <w:jc w:val="center"/>
        <w:rPr>
          <w:rFonts w:ascii="宋体" w:hAnsi="宋体" w:eastAsia="宋体"/>
          <w:sz w:val="36"/>
          <w:szCs w:val="36"/>
        </w:rPr>
      </w:pPr>
      <w:r>
        <w:rPr>
          <w:rFonts w:hint="eastAsia" w:ascii="宋体" w:hAnsi="宋体" w:eastAsia="宋体"/>
          <w:sz w:val="36"/>
          <w:szCs w:val="36"/>
          <w:lang w:val="en-US" w:eastAsia="zh-CN"/>
        </w:rPr>
        <w:t>2025年</w:t>
      </w:r>
      <w:r>
        <w:rPr>
          <w:rFonts w:hint="eastAsia" w:ascii="宋体" w:hAnsi="宋体" w:eastAsia="宋体"/>
          <w:sz w:val="36"/>
          <w:szCs w:val="36"/>
        </w:rPr>
        <w:t>全国业余乒乓球锦标赛</w:t>
      </w:r>
    </w:p>
    <w:p w14:paraId="1F7DE7DA">
      <w:pPr>
        <w:jc w:val="center"/>
        <w:rPr>
          <w:rFonts w:ascii="宋体" w:hAnsi="宋体" w:eastAsia="宋体"/>
          <w:sz w:val="36"/>
          <w:szCs w:val="36"/>
        </w:rPr>
      </w:pPr>
      <w:r>
        <w:rPr>
          <w:rFonts w:hint="eastAsia" w:ascii="宋体" w:hAnsi="宋体" w:eastAsia="宋体"/>
          <w:sz w:val="36"/>
          <w:szCs w:val="36"/>
        </w:rPr>
        <w:t>办赛要求</w:t>
      </w:r>
    </w:p>
    <w:p w14:paraId="307E69B9">
      <w:pPr>
        <w:jc w:val="center"/>
        <w:rPr>
          <w:rFonts w:ascii="宋体" w:hAnsi="宋体" w:eastAsia="宋体"/>
          <w:sz w:val="36"/>
          <w:szCs w:val="36"/>
        </w:rPr>
      </w:pPr>
    </w:p>
    <w:p w14:paraId="6D6EC564">
      <w:pPr>
        <w:spacing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一、赛事名称</w:t>
      </w:r>
    </w:p>
    <w:p w14:paraId="5812442E">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val="en-US" w:eastAsia="zh-CN"/>
        </w:rPr>
        <w:t>六</w:t>
      </w:r>
      <w:r>
        <w:rPr>
          <w:rFonts w:hint="eastAsia" w:ascii="仿宋" w:hAnsi="仿宋" w:eastAsia="仿宋"/>
          <w:sz w:val="32"/>
          <w:szCs w:val="32"/>
        </w:rPr>
        <w:t>届“李宁·红双喜杯”业余球王总决赛暨202</w:t>
      </w:r>
      <w:r>
        <w:rPr>
          <w:rFonts w:hint="eastAsia" w:ascii="仿宋" w:hAnsi="仿宋" w:eastAsia="仿宋"/>
          <w:sz w:val="32"/>
          <w:szCs w:val="32"/>
          <w:lang w:val="en-US" w:eastAsia="zh-CN"/>
        </w:rPr>
        <w:t>5</w:t>
      </w:r>
      <w:r>
        <w:rPr>
          <w:rFonts w:hint="eastAsia" w:ascii="仿宋" w:hAnsi="仿宋" w:eastAsia="仿宋"/>
          <w:sz w:val="32"/>
          <w:szCs w:val="32"/>
        </w:rPr>
        <w:t>年全国业余乒乓球锦标赛</w:t>
      </w:r>
    </w:p>
    <w:p w14:paraId="0DDBB815">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备注：该赛事为中国乒乓球协会全民健身A级赛事。</w:t>
      </w:r>
    </w:p>
    <w:p w14:paraId="464DC492">
      <w:pPr>
        <w:spacing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二、承办单位资质要求</w:t>
      </w:r>
    </w:p>
    <w:p w14:paraId="33840F77">
      <w:pPr>
        <w:spacing w:line="360" w:lineRule="auto"/>
        <w:ind w:firstLine="640" w:firstLineChars="200"/>
        <w:jc w:val="left"/>
        <w:rPr>
          <w:rFonts w:ascii="仿宋" w:hAnsi="仿宋" w:eastAsia="仿宋" w:cs="仿宋"/>
          <w:b/>
          <w:bCs/>
          <w:sz w:val="32"/>
          <w:szCs w:val="32"/>
        </w:rPr>
      </w:pPr>
      <w:r>
        <w:rPr>
          <w:rFonts w:hint="eastAsia" w:ascii="仿宋" w:hAnsi="仿宋" w:eastAsia="仿宋" w:cs="仿宋"/>
          <w:sz w:val="32"/>
          <w:szCs w:val="32"/>
        </w:rPr>
        <w:t>承办单位应为地方省市体育行政主管部门、省市乒乓球协会或在国家相关部门登记注册的具备举办体育赛事各项条件和资质的独立法人单位。</w:t>
      </w:r>
    </w:p>
    <w:p w14:paraId="229E4C58">
      <w:pPr>
        <w:spacing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三、办赛要求</w:t>
      </w:r>
    </w:p>
    <w:p w14:paraId="65356EBD">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（一）办赛地</w:t>
      </w:r>
    </w:p>
    <w:p w14:paraId="35EDDAF6">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赛事举办地应至少为地级市，场馆和周边酒店距离高铁站或机场车程不超过2小时。</w:t>
      </w:r>
    </w:p>
    <w:p w14:paraId="42CFF346">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（二）酒店及交通</w:t>
      </w:r>
    </w:p>
    <w:p w14:paraId="3D581D14">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1.场馆周边应有可解决参赛队伍、</w:t>
      </w:r>
      <w:r>
        <w:rPr>
          <w:rFonts w:hint="eastAsia" w:ascii="仿宋" w:hAnsi="仿宋" w:eastAsia="仿宋" w:cs="仿宋"/>
          <w:sz w:val="32"/>
          <w:szCs w:val="32"/>
        </w:rPr>
        <w:t>技术官员和</w:t>
      </w:r>
      <w:r>
        <w:rPr>
          <w:rFonts w:hint="eastAsia" w:ascii="仿宋" w:hAnsi="仿宋" w:eastAsia="仿宋"/>
          <w:sz w:val="32"/>
          <w:szCs w:val="32"/>
        </w:rPr>
        <w:t>工作人员约1000-1</w:t>
      </w:r>
      <w:r>
        <w:rPr>
          <w:rFonts w:hint="eastAsia" w:ascii="仿宋" w:hAnsi="仿宋" w:eastAsia="仿宋"/>
          <w:sz w:val="32"/>
          <w:szCs w:val="32"/>
          <w:lang w:val="en-US" w:eastAsia="zh-CN"/>
        </w:rPr>
        <w:t>3</w:t>
      </w:r>
      <w:r>
        <w:rPr>
          <w:rFonts w:hint="eastAsia" w:ascii="仿宋" w:hAnsi="仿宋" w:eastAsia="仿宋"/>
          <w:sz w:val="32"/>
          <w:szCs w:val="32"/>
        </w:rPr>
        <w:t>00人（其中运动员</w:t>
      </w:r>
      <w:r>
        <w:rPr>
          <w:rFonts w:hint="eastAsia" w:ascii="仿宋" w:hAnsi="仿宋" w:eastAsia="仿宋"/>
          <w:sz w:val="32"/>
          <w:szCs w:val="32"/>
          <w:lang w:val="en-US" w:eastAsia="zh-CN"/>
        </w:rPr>
        <w:t>75</w:t>
      </w:r>
      <w:r>
        <w:rPr>
          <w:rFonts w:hint="eastAsia" w:ascii="仿宋" w:hAnsi="仿宋" w:eastAsia="仿宋"/>
          <w:sz w:val="32"/>
          <w:szCs w:val="32"/>
        </w:rPr>
        <w:t>0-</w:t>
      </w:r>
      <w:r>
        <w:rPr>
          <w:rFonts w:hint="eastAsia" w:ascii="仿宋" w:hAnsi="仿宋" w:eastAsia="仿宋"/>
          <w:sz w:val="32"/>
          <w:szCs w:val="32"/>
          <w:lang w:val="en-US" w:eastAsia="zh-CN"/>
        </w:rPr>
        <w:t>900</w:t>
      </w:r>
      <w:r>
        <w:rPr>
          <w:rFonts w:hint="eastAsia" w:ascii="仿宋" w:hAnsi="仿宋" w:eastAsia="仿宋"/>
          <w:sz w:val="32"/>
          <w:szCs w:val="32"/>
        </w:rPr>
        <w:t>人）食宿的多家不同价位档次的酒店</w:t>
      </w:r>
      <w:r>
        <w:rPr>
          <w:rFonts w:hint="eastAsia" w:ascii="仿宋" w:hAnsi="仿宋" w:eastAsia="仿宋" w:cs="仿宋"/>
          <w:sz w:val="32"/>
          <w:szCs w:val="32"/>
        </w:rPr>
        <w:t>（价格范围从每个标间2</w:t>
      </w:r>
      <w:r>
        <w:rPr>
          <w:rFonts w:ascii="仿宋" w:hAnsi="仿宋" w:eastAsia="仿宋" w:cs="仿宋"/>
          <w:sz w:val="32"/>
          <w:szCs w:val="32"/>
        </w:rPr>
        <w:t>00</w:t>
      </w:r>
      <w:r>
        <w:rPr>
          <w:rFonts w:hint="eastAsia" w:ascii="仿宋" w:hAnsi="仿宋" w:eastAsia="仿宋" w:cs="仿宋"/>
          <w:sz w:val="32"/>
          <w:szCs w:val="32"/>
        </w:rPr>
        <w:t>元-</w:t>
      </w:r>
      <w:r>
        <w:rPr>
          <w:rFonts w:ascii="仿宋" w:hAnsi="仿宋" w:eastAsia="仿宋" w:cs="仿宋"/>
          <w:sz w:val="32"/>
          <w:szCs w:val="32"/>
        </w:rPr>
        <w:t>800</w:t>
      </w:r>
      <w:r>
        <w:rPr>
          <w:rFonts w:hint="eastAsia" w:ascii="仿宋" w:hAnsi="仿宋" w:eastAsia="仿宋" w:cs="仿宋"/>
          <w:sz w:val="32"/>
          <w:szCs w:val="32"/>
        </w:rPr>
        <w:t>元），</w:t>
      </w:r>
      <w:r>
        <w:rPr>
          <w:rFonts w:hint="eastAsia" w:ascii="仿宋" w:hAnsi="仿宋" w:eastAsia="仿宋"/>
          <w:sz w:val="32"/>
          <w:szCs w:val="32"/>
        </w:rPr>
        <w:t>承办单位应协调酒店提供最优惠价格。</w:t>
      </w:r>
    </w:p>
    <w:p w14:paraId="34DF357C">
      <w:pPr>
        <w:spacing w:line="360" w:lineRule="auto"/>
        <w:ind w:firstLine="640" w:firstLineChars="200"/>
        <w:jc w:val="left"/>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 xml:space="preserve"> 若场馆和推荐酒店路途超过1.5公里，承办单位应提供酒店与场馆之间的免费往返大巴，并按照赛事编排制定时刻表。</w:t>
      </w:r>
    </w:p>
    <w:p w14:paraId="01424993">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（三）比赛场馆和设施设备要求</w:t>
      </w:r>
    </w:p>
    <w:p w14:paraId="33766798">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1.场馆安全：</w:t>
      </w:r>
    </w:p>
    <w:p w14:paraId="732BB712">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比赛场馆必须在一年内进行过全面安全检查，符合国家消防、建筑安全等相关标准和要求。</w:t>
      </w:r>
    </w:p>
    <w:p w14:paraId="74BB4FBE">
      <w:pPr>
        <w:spacing w:line="360" w:lineRule="auto"/>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.场馆大小：可使用主、副两个场馆（但应在一个建筑区域，例如体育中心等），场馆总面积应达到至少4500平方米，能摆放不少于</w:t>
      </w:r>
      <w:r>
        <w:rPr>
          <w:rFonts w:hint="eastAsia" w:ascii="仿宋" w:hAnsi="仿宋" w:eastAsia="仿宋"/>
          <w:sz w:val="32"/>
          <w:szCs w:val="32"/>
          <w:lang w:val="en-US" w:eastAsia="zh-CN"/>
        </w:rPr>
        <w:t>48</w:t>
      </w:r>
      <w:r>
        <w:rPr>
          <w:rFonts w:hint="eastAsia" w:ascii="仿宋" w:hAnsi="仿宋" w:eastAsia="仿宋"/>
          <w:sz w:val="32"/>
          <w:szCs w:val="32"/>
        </w:rPr>
        <w:t>张球台，每张球台场地面积不小于6米*12米并留有足够通道空间。</w:t>
      </w:r>
    </w:p>
    <w:p w14:paraId="440818CD">
      <w:pPr>
        <w:spacing w:line="360" w:lineRule="auto"/>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.竞赛器材：配备与比赛规模相适应的包括球台、球、挡板、裁判桌椅等竞赛器材。</w:t>
      </w:r>
    </w:p>
    <w:p w14:paraId="211F91CF">
      <w:pPr>
        <w:spacing w:line="360" w:lineRule="auto"/>
        <w:ind w:firstLine="640" w:firstLineChars="200"/>
        <w:jc w:val="left"/>
        <w:rPr>
          <w:rFonts w:ascii="仿宋" w:hAnsi="仿宋" w:eastAsia="仿宋" w:cs="仿宋"/>
          <w:sz w:val="32"/>
          <w:szCs w:val="32"/>
        </w:rPr>
      </w:pPr>
      <w:r>
        <w:rPr>
          <w:rFonts w:ascii="仿宋" w:hAnsi="仿宋" w:eastAsia="仿宋"/>
          <w:sz w:val="32"/>
          <w:szCs w:val="32"/>
        </w:rPr>
        <w:t>4</w:t>
      </w:r>
      <w:r>
        <w:rPr>
          <w:rFonts w:hint="eastAsia" w:ascii="仿宋" w:hAnsi="仿宋" w:eastAsia="仿宋"/>
          <w:sz w:val="32"/>
          <w:szCs w:val="32"/>
        </w:rPr>
        <w:t>.场馆灯光：</w:t>
      </w:r>
      <w:r>
        <w:rPr>
          <w:rFonts w:hint="eastAsia" w:ascii="仿宋" w:hAnsi="仿宋" w:eastAsia="仿宋" w:cs="仿宋"/>
          <w:sz w:val="32"/>
          <w:szCs w:val="32"/>
        </w:rPr>
        <w:t>比赛场馆的照度应符合国际乒乓球比赛标准，</w:t>
      </w:r>
      <w:r>
        <w:rPr>
          <w:rFonts w:hint="eastAsia" w:ascii="仿宋" w:hAnsi="仿宋" w:eastAsia="仿宋" w:cs="仿宋"/>
          <w:color w:val="000000"/>
          <w:sz w:val="32"/>
          <w:szCs w:val="32"/>
        </w:rPr>
        <w:t>光源距离地面不得少于5米</w:t>
      </w:r>
      <w:r>
        <w:rPr>
          <w:rFonts w:hint="eastAsia" w:ascii="仿宋" w:hAnsi="仿宋" w:eastAsia="仿宋" w:cs="仿宋"/>
          <w:sz w:val="32"/>
          <w:szCs w:val="32"/>
        </w:rPr>
        <w:t>，比赛区域的场地照度不低于1000勒克司，球台表面的照度不低于1200勒克司，直播球台台面的照度不低于1500勒克司，</w:t>
      </w:r>
      <w:r>
        <w:rPr>
          <w:rFonts w:hint="eastAsia" w:ascii="仿宋" w:hAnsi="仿宋" w:eastAsia="仿宋"/>
          <w:sz w:val="32"/>
          <w:szCs w:val="32"/>
        </w:rPr>
        <w:t>场地四周没有直射的自然光。</w:t>
      </w:r>
    </w:p>
    <w:p w14:paraId="72EF7B21">
      <w:pPr>
        <w:spacing w:line="360" w:lineRule="auto"/>
        <w:ind w:firstLine="640" w:firstLineChars="200"/>
        <w:jc w:val="left"/>
        <w:rPr>
          <w:rFonts w:ascii="仿宋" w:hAnsi="仿宋" w:eastAsia="仿宋" w:cs="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.场馆地面：</w:t>
      </w:r>
      <w:r>
        <w:rPr>
          <w:rFonts w:hint="eastAsia" w:ascii="仿宋" w:hAnsi="仿宋" w:eastAsia="仿宋" w:cs="仿宋"/>
          <w:color w:val="000000"/>
          <w:sz w:val="32"/>
          <w:szCs w:val="32"/>
        </w:rPr>
        <w:t>比赛区域的地面应铺设符合国际或国家相关标准的专业乒乓球运动地胶或运动木地板。</w:t>
      </w:r>
    </w:p>
    <w:p w14:paraId="2907911C">
      <w:pPr>
        <w:spacing w:line="360" w:lineRule="auto"/>
        <w:ind w:firstLine="640" w:firstLineChars="2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.场馆温度：</w:t>
      </w:r>
      <w:r>
        <w:rPr>
          <w:rFonts w:ascii="仿宋" w:hAnsi="仿宋" w:eastAsia="仿宋"/>
          <w:sz w:val="32"/>
          <w:szCs w:val="32"/>
        </w:rPr>
        <w:t>比赛场馆须有空调或暖气，保证比赛期间场馆内温度</w:t>
      </w:r>
      <w:r>
        <w:rPr>
          <w:rFonts w:hint="eastAsia" w:ascii="仿宋" w:hAnsi="仿宋" w:eastAsia="仿宋"/>
          <w:sz w:val="32"/>
          <w:szCs w:val="32"/>
        </w:rPr>
        <w:t>控制</w:t>
      </w:r>
      <w:r>
        <w:rPr>
          <w:rFonts w:ascii="仿宋" w:hAnsi="仿宋" w:eastAsia="仿宋"/>
          <w:sz w:val="32"/>
          <w:szCs w:val="32"/>
        </w:rPr>
        <w:t>在19-26摄氏度之间。</w:t>
      </w:r>
    </w:p>
    <w:p w14:paraId="76FB5E25">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.承办方应保证在比赛期间，相关场馆未安排其他赛事活动，可正常供本次赛事使用。</w:t>
      </w:r>
    </w:p>
    <w:p w14:paraId="15331DE1">
      <w:pPr>
        <w:spacing w:line="360" w:lineRule="auto"/>
        <w:ind w:firstLine="640" w:firstLineChars="200"/>
        <w:jc w:val="lef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.应征单位需</w:t>
      </w:r>
      <w:r>
        <w:rPr>
          <w:rFonts w:ascii="仿宋" w:hAnsi="仿宋" w:eastAsia="仿宋"/>
          <w:sz w:val="32"/>
          <w:szCs w:val="32"/>
        </w:rPr>
        <w:t>提供比赛场馆示意图，比赛场馆内外照片</w:t>
      </w:r>
      <w:r>
        <w:rPr>
          <w:rFonts w:hint="eastAsia" w:ascii="仿宋" w:hAnsi="仿宋" w:eastAsia="仿宋"/>
          <w:sz w:val="32"/>
          <w:szCs w:val="32"/>
        </w:rPr>
        <w:t>若干张</w:t>
      </w:r>
      <w:r>
        <w:rPr>
          <w:rFonts w:ascii="仿宋" w:hAnsi="仿宋" w:eastAsia="仿宋"/>
          <w:sz w:val="32"/>
          <w:szCs w:val="32"/>
        </w:rPr>
        <w:t>，以及其他相关的补充材料。</w:t>
      </w:r>
    </w:p>
    <w:p w14:paraId="7CA86D91">
      <w:pPr>
        <w:spacing w:line="360" w:lineRule="auto"/>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.在比赛场馆或入住酒店提供可容纳至少200人的会议室，召开裁判长、领队、教练联席会议，并提供</w:t>
      </w:r>
      <w:r>
        <w:rPr>
          <w:rFonts w:ascii="仿宋" w:hAnsi="仿宋" w:eastAsia="仿宋"/>
          <w:sz w:val="32"/>
          <w:szCs w:val="32"/>
        </w:rPr>
        <w:t>抽签需要的投影仪、幕布</w:t>
      </w:r>
      <w:r>
        <w:rPr>
          <w:rFonts w:hint="eastAsia" w:ascii="仿宋" w:hAnsi="仿宋" w:eastAsia="仿宋"/>
          <w:sz w:val="32"/>
          <w:szCs w:val="32"/>
        </w:rPr>
        <w:t>、音响等设备</w:t>
      </w:r>
      <w:r>
        <w:rPr>
          <w:rFonts w:ascii="仿宋" w:hAnsi="仿宋" w:eastAsia="仿宋"/>
          <w:sz w:val="32"/>
          <w:szCs w:val="32"/>
        </w:rPr>
        <w:t>。</w:t>
      </w:r>
    </w:p>
    <w:p w14:paraId="2D1F7218">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（四）承办单位应在开赛前两个月提供赛事组织方案、赛事安全保障方案（含“熔断”机制）、赛事医疗</w:t>
      </w:r>
      <w:r>
        <w:rPr>
          <w:rFonts w:hint="eastAsia" w:ascii="仿宋" w:hAnsi="仿宋" w:eastAsia="仿宋" w:cs="仿宋"/>
          <w:b w:val="0"/>
          <w:bCs w:val="0"/>
          <w:sz w:val="32"/>
          <w:szCs w:val="32"/>
        </w:rPr>
        <w:t>应急方案、宣传及舆情应对方案等。</w:t>
      </w:r>
    </w:p>
    <w:p w14:paraId="7860F94D">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（五）商务权益</w:t>
      </w:r>
    </w:p>
    <w:p w14:paraId="3841EC2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总冠名权：为“李宁</w:t>
      </w:r>
      <w:r>
        <w:rPr>
          <w:rFonts w:hint="eastAsia" w:ascii="仿宋" w:hAnsi="仿宋" w:eastAsia="仿宋" w:cs="仿宋"/>
          <w:sz w:val="32"/>
          <w:szCs w:val="32"/>
        </w:rPr>
        <w:t>·</w:t>
      </w:r>
      <w:r>
        <w:rPr>
          <w:rFonts w:hint="eastAsia" w:ascii="仿宋" w:hAnsi="仿宋" w:eastAsia="仿宋"/>
          <w:sz w:val="32"/>
          <w:szCs w:val="32"/>
        </w:rPr>
        <w:t>红双喜杯”。承办单位将为此获得50万元人民币的办赛经费。</w:t>
      </w:r>
    </w:p>
    <w:p w14:paraId="068E54C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竞赛器材：由上海红双喜股份有限公司提供部分球台、足量比赛球和挡板，器材不足部分由承办单位自行解决。</w:t>
      </w:r>
    </w:p>
    <w:p w14:paraId="753D647F">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其他赞助：由承办单位自行开发，但不得与总冠名单位的行业产生冲突。</w:t>
      </w:r>
    </w:p>
    <w:p w14:paraId="764A4982">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主办单位享有85%的官方文件和现场广告权益，承办单位享有15%的官方文件和现场广告权益。</w:t>
      </w:r>
    </w:p>
    <w:p w14:paraId="71BB10B8">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cs="仿宋"/>
          <w:sz w:val="32"/>
          <w:szCs w:val="32"/>
        </w:rPr>
        <w:t>承办单位应向每位参赛运动员提供参赛包，包括且不仅限于号码布、秩序册</w:t>
      </w:r>
      <w:r>
        <w:rPr>
          <w:rFonts w:hint="eastAsia" w:ascii="仿宋" w:hAnsi="仿宋" w:eastAsia="仿宋" w:cs="仿宋"/>
          <w:sz w:val="32"/>
          <w:szCs w:val="32"/>
          <w:lang w:eastAsia="zh-CN"/>
        </w:rPr>
        <w:t>，以及</w:t>
      </w:r>
      <w:r>
        <w:rPr>
          <w:rFonts w:hint="eastAsia" w:ascii="仿宋" w:hAnsi="仿宋" w:eastAsia="仿宋" w:cs="仿宋"/>
          <w:sz w:val="32"/>
          <w:szCs w:val="32"/>
        </w:rPr>
        <w:t>价值</w:t>
      </w:r>
      <w:r>
        <w:rPr>
          <w:rFonts w:hint="eastAsia" w:ascii="仿宋" w:hAnsi="仿宋" w:eastAsia="仿宋" w:cs="仿宋"/>
          <w:sz w:val="32"/>
          <w:szCs w:val="32"/>
          <w:lang w:val="en-US" w:eastAsia="zh-CN"/>
        </w:rPr>
        <w:t>不低于5</w:t>
      </w:r>
      <w:bookmarkStart w:id="2" w:name="_GoBack"/>
      <w:bookmarkEnd w:id="2"/>
      <w:r>
        <w:rPr>
          <w:rFonts w:hint="eastAsia" w:ascii="仿宋" w:hAnsi="仿宋" w:eastAsia="仿宋" w:cs="仿宋"/>
          <w:sz w:val="32"/>
          <w:szCs w:val="32"/>
          <w:lang w:val="en-US" w:eastAsia="zh-CN"/>
        </w:rPr>
        <w:t>0</w:t>
      </w:r>
      <w:r>
        <w:rPr>
          <w:rFonts w:hint="eastAsia" w:ascii="仿宋" w:hAnsi="仿宋" w:eastAsia="仿宋" w:cs="仿宋"/>
          <w:sz w:val="32"/>
          <w:szCs w:val="32"/>
        </w:rPr>
        <w:t>元人民币的具有当地特色的纪念品或其他物品。</w:t>
      </w:r>
    </w:p>
    <w:p w14:paraId="05078F80">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承办单位应根据竞赛规程承担赛事价值</w:t>
      </w:r>
      <w:r>
        <w:rPr>
          <w:rFonts w:hint="eastAsia" w:ascii="仿宋" w:hAnsi="仿宋" w:eastAsia="仿宋"/>
          <w:sz w:val="32"/>
          <w:szCs w:val="32"/>
          <w:lang w:val="en-US" w:eastAsia="zh-CN"/>
        </w:rPr>
        <w:t>20万元</w:t>
      </w:r>
      <w:r>
        <w:rPr>
          <w:rFonts w:hint="eastAsia" w:ascii="仿宋" w:hAnsi="仿宋" w:eastAsia="仿宋"/>
          <w:sz w:val="32"/>
          <w:szCs w:val="32"/>
        </w:rPr>
        <w:t>的奖品</w:t>
      </w:r>
      <w:r>
        <w:rPr>
          <w:rFonts w:hint="eastAsia" w:ascii="仿宋" w:hAnsi="仿宋" w:eastAsia="仿宋"/>
          <w:sz w:val="32"/>
          <w:szCs w:val="32"/>
          <w:lang w:val="en-US" w:eastAsia="zh-CN"/>
        </w:rPr>
        <w:t>和奖金</w:t>
      </w:r>
      <w:r>
        <w:rPr>
          <w:rFonts w:hint="eastAsia" w:ascii="仿宋" w:hAnsi="仿宋" w:eastAsia="仿宋"/>
          <w:sz w:val="32"/>
          <w:szCs w:val="32"/>
        </w:rPr>
        <w:t>。</w:t>
      </w:r>
    </w:p>
    <w:p w14:paraId="7E6881BA">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cs="仿宋"/>
          <w:sz w:val="32"/>
          <w:szCs w:val="32"/>
        </w:rPr>
        <w:t>本项赛事全部采用竞赛与接待相分离的组织形式，承办单位仅负责办赛人员接待和竞赛相关工作，各参赛队伍自行承担城际交通和赛事期间的食宿费用。</w:t>
      </w:r>
    </w:p>
    <w:p w14:paraId="38E4424B">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赛事宣传</w:t>
      </w:r>
      <w:r>
        <w:rPr>
          <w:rFonts w:hint="eastAsia" w:ascii="仿宋" w:hAnsi="仿宋" w:eastAsia="仿宋"/>
          <w:sz w:val="32"/>
          <w:szCs w:val="32"/>
        </w:rPr>
        <w:t>要求</w:t>
      </w:r>
    </w:p>
    <w:p w14:paraId="30598487">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.建立赛事宣传工作组，</w:t>
      </w:r>
      <w:r>
        <w:rPr>
          <w:rFonts w:hint="eastAsia" w:ascii="仿宋" w:hAnsi="仿宋" w:eastAsia="仿宋"/>
          <w:sz w:val="32"/>
          <w:szCs w:val="32"/>
        </w:rPr>
        <w:t>提前两个月完成</w:t>
      </w:r>
      <w:r>
        <w:rPr>
          <w:rFonts w:ascii="仿宋" w:hAnsi="仿宋" w:eastAsia="仿宋"/>
          <w:sz w:val="32"/>
          <w:szCs w:val="32"/>
        </w:rPr>
        <w:t>制定赛事宣传方案</w:t>
      </w:r>
      <w:r>
        <w:rPr>
          <w:rFonts w:hint="eastAsia" w:ascii="仿宋" w:hAnsi="仿宋" w:eastAsia="仿宋"/>
          <w:sz w:val="32"/>
          <w:szCs w:val="32"/>
        </w:rPr>
        <w:t>，提前一个月完成赛事宣传短视频的制作，并按宣传方案定期播发。应主动联系尽可能多的全国性媒体，赛事期间至少有</w:t>
      </w:r>
      <w:r>
        <w:rPr>
          <w:rFonts w:hint="eastAsia" w:ascii="仿宋" w:hAnsi="仿宋" w:eastAsia="仿宋"/>
          <w:sz w:val="32"/>
          <w:szCs w:val="32"/>
          <w:lang w:val="en-US" w:eastAsia="zh-CN"/>
        </w:rPr>
        <w:t>5次</w:t>
      </w:r>
      <w:r>
        <w:rPr>
          <w:rFonts w:hint="eastAsia" w:ascii="仿宋" w:hAnsi="仿宋" w:eastAsia="仿宋"/>
          <w:sz w:val="32"/>
          <w:szCs w:val="32"/>
        </w:rPr>
        <w:t>全国性媒体报道</w:t>
      </w:r>
      <w:r>
        <w:rPr>
          <w:rFonts w:ascii="仿宋" w:hAnsi="仿宋" w:eastAsia="仿宋"/>
          <w:sz w:val="32"/>
          <w:szCs w:val="32"/>
        </w:rPr>
        <w:t xml:space="preserve">。 </w:t>
      </w:r>
    </w:p>
    <w:p w14:paraId="35E3824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.重视新闻宣传工作，安排地方媒体对赛事进行全面宣传，并为到赛区采访的新闻工作者提供生活和工作上的便利。</w:t>
      </w:r>
    </w:p>
    <w:p w14:paraId="0D45ECAF">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优先考虑能够对比赛在省市级电视台或相关全国性网络转播平台进行赛事转播的应征单位。</w:t>
      </w:r>
    </w:p>
    <w:p w14:paraId="0CF82866">
      <w:pPr>
        <w:spacing w:line="360" w:lineRule="auto"/>
        <w:ind w:firstLine="640" w:firstLineChars="200"/>
        <w:jc w:val="left"/>
        <w:rPr>
          <w:rFonts w:hint="eastAsia" w:ascii="仿宋" w:hAnsi="仿宋" w:eastAsia="仿宋" w:cs="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cs="仿宋"/>
          <w:sz w:val="32"/>
          <w:szCs w:val="32"/>
        </w:rPr>
        <w:t>至少向主办单位提供</w:t>
      </w:r>
      <w:r>
        <w:rPr>
          <w:rFonts w:hint="eastAsia" w:ascii="仿宋" w:hAnsi="仿宋" w:eastAsia="仿宋" w:cs="仿宋"/>
          <w:sz w:val="32"/>
          <w:szCs w:val="32"/>
          <w:lang w:val="en-US" w:eastAsia="zh-CN"/>
        </w:rPr>
        <w:t>两</w:t>
      </w:r>
      <w:r>
        <w:rPr>
          <w:rFonts w:hint="eastAsia" w:ascii="仿宋" w:hAnsi="仿宋" w:eastAsia="仿宋" w:cs="仿宋"/>
          <w:sz w:val="32"/>
          <w:szCs w:val="32"/>
        </w:rPr>
        <w:t>张球台的全程比赛直播信号。其中一张主球台必须采用多机位进行直播，并</w:t>
      </w:r>
      <w:r>
        <w:rPr>
          <w:rFonts w:hint="eastAsia" w:ascii="仿宋" w:hAnsi="仿宋" w:eastAsia="仿宋" w:cs="仿宋"/>
          <w:sz w:val="32"/>
          <w:szCs w:val="32"/>
          <w:lang w:val="en-US" w:eastAsia="zh-CN"/>
        </w:rPr>
        <w:t>包含</w:t>
      </w:r>
      <w:r>
        <w:rPr>
          <w:rFonts w:hint="eastAsia" w:ascii="仿宋" w:hAnsi="仿宋" w:eastAsia="仿宋" w:cs="仿宋"/>
          <w:b w:val="0"/>
          <w:bCs w:val="0"/>
          <w:sz w:val="32"/>
          <w:szCs w:val="32"/>
          <w:lang w:val="en-US" w:eastAsia="zh-CN"/>
        </w:rPr>
        <w:t>有赛事、对阵、比分等信息</w:t>
      </w:r>
      <w:r>
        <w:rPr>
          <w:rFonts w:hint="eastAsia" w:ascii="仿宋" w:hAnsi="仿宋" w:eastAsia="仿宋" w:cs="仿宋"/>
          <w:sz w:val="32"/>
          <w:szCs w:val="32"/>
        </w:rPr>
        <w:t>。</w:t>
      </w:r>
    </w:p>
    <w:p w14:paraId="1CD6EC97">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（七）其他竞赛组织要求</w:t>
      </w:r>
    </w:p>
    <w:p w14:paraId="2B9E6129">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cs="仿宋"/>
          <w:sz w:val="32"/>
          <w:szCs w:val="32"/>
        </w:rPr>
        <w:t>决赛采用双裁制，其余比赛进行单裁制，按照每张球台两名裁判员确定临场裁判数量，保证全部临场裁判员为一级及以上级别裁判员。</w:t>
      </w:r>
    </w:p>
    <w:p w14:paraId="04F72A6D">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承办单位应配备足够数量的工作人员、志愿者、安保人员及医疗人员，保证赛事的顺利进行。</w:t>
      </w:r>
    </w:p>
    <w:p w14:paraId="6E4ADF29">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承办单位应提供相应数量的赛事用车，其中至少竞赛官员两辆和裁判长团队两辆。</w:t>
      </w:r>
    </w:p>
    <w:p w14:paraId="51F95918">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比赛应遵循节俭办赛原则，办赛经费以保证组织赛事本身为主，减少其他不必要的开支。经费来源可为政府财政拨款、体育彩票基金、社会资助或商业赞助等。</w:t>
      </w:r>
    </w:p>
    <w:p w14:paraId="1CD7645C">
      <w:pPr>
        <w:spacing w:line="360" w:lineRule="auto"/>
        <w:ind w:firstLine="640" w:firstLineChars="200"/>
        <w:jc w:val="left"/>
        <w:rPr>
          <w:rFonts w:ascii="仿宋" w:hAnsi="仿宋" w:eastAsia="仿宋" w:cs="仿宋"/>
          <w:sz w:val="32"/>
          <w:szCs w:val="32"/>
        </w:rPr>
      </w:pPr>
      <w:bookmarkStart w:id="0" w:name="_Hlk150337301"/>
      <w:r>
        <w:rPr>
          <w:rFonts w:hint="eastAsia" w:ascii="仿宋" w:hAnsi="仿宋" w:eastAsia="仿宋" w:cs="仿宋"/>
          <w:sz w:val="32"/>
          <w:szCs w:val="32"/>
        </w:rPr>
        <w:t>（八）医疗保障要求</w:t>
      </w:r>
    </w:p>
    <w:p w14:paraId="409B0CFA">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申办材料中要有完善的赛事医疗保障工作方案（含可能发生的疫情防控情况）。</w:t>
      </w:r>
    </w:p>
    <w:p w14:paraId="32BE70C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赛事应配备现场医疗救护人员和设备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含“AED”</w:t>
      </w:r>
      <w:r>
        <w:rPr>
          <w:rFonts w:hint="eastAsia" w:ascii="仿宋" w:hAnsi="仿宋" w:eastAsia="仿宋" w:cs="仿宋"/>
          <w:sz w:val="32"/>
          <w:szCs w:val="32"/>
          <w:lang w:eastAsia="zh-CN"/>
        </w:rPr>
        <w:t>）</w:t>
      </w:r>
      <w:r>
        <w:rPr>
          <w:rFonts w:hint="eastAsia" w:ascii="仿宋" w:hAnsi="仿宋" w:eastAsia="仿宋" w:cs="仿宋"/>
          <w:sz w:val="32"/>
          <w:szCs w:val="32"/>
        </w:rPr>
        <w:t>，在场馆周边应联系便捷的医疗机构和救援绿色通道。</w:t>
      </w:r>
    </w:p>
    <w:p w14:paraId="0F605080">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（九）</w:t>
      </w:r>
      <w:r>
        <w:rPr>
          <w:rFonts w:hint="eastAsia" w:ascii="仿宋" w:hAnsi="仿宋" w:eastAsia="仿宋" w:cs="仿宋"/>
          <w:sz w:val="32"/>
          <w:szCs w:val="32"/>
        </w:rPr>
        <w:t>其他未尽事宜</w:t>
      </w:r>
      <w:r>
        <w:rPr>
          <w:rFonts w:hint="eastAsia" w:ascii="仿宋" w:hAnsi="仿宋" w:eastAsia="仿宋" w:cs="仿宋"/>
          <w:sz w:val="32"/>
          <w:szCs w:val="32"/>
          <w:lang w:val="en-US" w:eastAsia="zh-CN"/>
        </w:rPr>
        <w:t>根据</w:t>
      </w:r>
      <w:r>
        <w:rPr>
          <w:rFonts w:hint="eastAsia" w:ascii="仿宋" w:hAnsi="仿宋" w:eastAsia="仿宋" w:cs="仿宋"/>
          <w:sz w:val="32"/>
          <w:szCs w:val="32"/>
        </w:rPr>
        <w:t>赛事承办协议</w:t>
      </w:r>
      <w:r>
        <w:rPr>
          <w:rFonts w:hint="eastAsia" w:ascii="仿宋" w:hAnsi="仿宋" w:eastAsia="仿宋" w:cs="仿宋"/>
          <w:sz w:val="32"/>
          <w:szCs w:val="32"/>
          <w:lang w:val="en-US" w:eastAsia="zh-CN"/>
        </w:rPr>
        <w:t>约定。</w:t>
      </w:r>
    </w:p>
    <w:bookmarkEnd w:id="0"/>
    <w:p w14:paraId="14B54A5D">
      <w:pPr>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w:t>
      </w:r>
      <w:bookmarkStart w:id="1" w:name="_Hlk150337313"/>
      <w:r>
        <w:rPr>
          <w:rFonts w:hint="eastAsia" w:ascii="仿宋" w:hAnsi="仿宋" w:eastAsia="仿宋" w:cs="仿宋"/>
          <w:b/>
          <w:bCs/>
          <w:sz w:val="32"/>
          <w:szCs w:val="32"/>
        </w:rPr>
        <w:t>处罚</w:t>
      </w:r>
    </w:p>
    <w:p w14:paraId="29970F4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若相关应征单位在征集结果公示和公布后无故退出，未能按协议规定完成赛事组织工作的，我协会将根据情节严重性和相应的损失保留追责权利，同时相关应征单位被我协会列入办赛黑名单，停止其承办中国乒协主办的相关赛事1至3年。</w:t>
      </w:r>
    </w:p>
    <w:bookmarkEnd w:id="1"/>
    <w:p w14:paraId="21623B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764E5"/>
    <w:rsid w:val="23616B0D"/>
    <w:rsid w:val="33B466E1"/>
    <w:rsid w:val="378045A2"/>
    <w:rsid w:val="5E42200B"/>
    <w:rsid w:val="7557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1925</Words>
  <Characters>2010</Characters>
  <Lines>0</Lines>
  <Paragraphs>0</Paragraphs>
  <TotalTime>4</TotalTime>
  <ScaleCrop>false</ScaleCrop>
  <LinksUpToDate>false</LinksUpToDate>
  <CharactersWithSpaces>2012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2024-11-27T06:30:00Z</dcterms:created>
  <dc:creator>袁华</dc:creator>
  <cp:lastModifiedBy>袁华</cp:lastModifiedBy>
  <dcterms:modified xsi:type="dcterms:W3CDTF">2024-11-27T15:04:26Z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376AEE05D23A4C0F8D256ADA0A644539_11</vt:lpwstr>
  </property>
</Properties>
</file>